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Shopee International Indonesia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PKS/KKI/III/2026/006</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Shopee International Indonesia,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Pacific Century Place, SCBD Lot 10, Jakarta. Yang dalam hal ini diwakili oleh Kevin Lim selaku Marketing Manager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Shopee International Indonesia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e-commerce dan teknologi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Pembuatan 5 video konten edukasi Instagram Reels bertema pengembangan diri untuk kampanye Q2 2026</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25.000.000,- (Dua Puluh Lima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Shopee International Indonesia</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Kevin Lim</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Marketing Manager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