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Bank Mandiri (Persero) Tbk</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PKS/ERK/III/2026/020</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Bank Mandiri (Persero) Tbk,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Jend. Gatot Subroto Kav. 36-38, Jakarta 12190. Yang dalam hal ini diwakili oleh Andi Wijaya selaku VP Human Capital</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Bank Mandiri (Persero) Tbk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perbankan dan jasa keuangan.</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asesmen psikologi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asesmen psikologi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ASESMEN PSIKOLOGI.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ASESMEN PSIKOLOGI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ASESMEN PSIKOLOGI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ASESMEN PSIKOLOGI adalah termasuk namun tidak terbatas pada melaksanakan ASESMEN PSIKOLOGI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Pelaksanaan Asesmen Psikologi (Psikotes 5 Komponen) untuk 500 karyawan baru batch recruitment Q2 2026</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ASESMEN PSIKOLOGI oleh PIHAK KEDUA harus disesuaikan dengan konsep, tema, dan gaya yang ditentukan oleh PIHAK PERTAMA, namun tetap disesuaikan dengan gaya asesmen psikologi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ASESMEN PSIKOLOGI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ASESMEN PSIKOLOGI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ASESMEN PSIKOLOGI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ASESMEN PSIKOLOGI yang telah diproduksi sebelum ASESMEN PSIKOLOGI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ASESMEN PSIKOLOGI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ASESMEN PSIKOLOGI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ASESMEN PSIKOLOGI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ASESMEN PSIKOLOGI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ASESMEN PSIKOLOGI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ASESMEN PSIKOLOGI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17.500.000,- (Tujuh Belas Juta Lima Ratus Ribu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asesmen psikologi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ASESMEN PSIKOLOGI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ASESMEN PSIKOLOGI;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ASESMEN PSIKOLOGI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Bank Mandiri (Persero) Tbk</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Andi Wijaya</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VP Human Capital</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