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 xml:space="preserve">PT ABC</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PT </w:t>
      </w:r>
      <w:r w:rsidDel="00000000" w:rsidR="00000000" w:rsidRPr="00000000">
        <w:rPr>
          <w:b w:val="1"/>
          <w:bCs w:val="1"/>
          <w:rtl w:val="0"/>
        </w:rPr>
        <w:t xml:space="preserve">ERK/KKI/SPE/TWI/SKK</w:t>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No: </w:t>
      </w:r>
      <w:r w:rsidDel="00000000" w:rsidR="00000000" w:rsidRPr="00000000">
        <w:rPr>
          <w:b w:val="1"/>
          <w:bCs w:val="1"/>
          <w:rtl w:val="0"/>
        </w:rPr>
        <w:t xml:space="preserve">xx</w:t>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Penta Valent</w:t>
      </w:r>
      <w:r w:rsidDel="00000000" w:rsidR="00000000" w:rsidRPr="00000000">
        <w:rPr>
          <w:b w:val="1"/>
          <w:bCs w:val="1"/>
          <w:highlight w:val="white"/>
          <w:rtl w:val="0"/>
        </w:rPr>
        <w:t xml:space="preserve">, </w:t>
      </w:r>
      <w:r w:rsidDel="00000000" w:rsidR="00000000" w:rsidRPr="00000000">
        <w:rPr>
          <w:highlight w:val="white"/>
          <w:rtl w:val="0"/>
        </w:rPr>
        <w:t xml:space="preserve">sebuah perseroan terbatas yang didirikan berdasarkan hukum dan undang-undang Negara Republik Indonesia, berkedudukan hukum di Provinsi?, beralamat di xx. Yang dalam hal ini diwakili oleh </w:t>
      </w:r>
      <w:r w:rsidDel="00000000" w:rsidR="00000000" w:rsidRPr="00000000">
        <w:rPr>
          <w:b w:val="1"/>
          <w:bCs w:val="1"/>
          <w:highlight w:val="white"/>
          <w:rtl w:val="0"/>
        </w:rPr>
        <w:t xml:space="preserve">XX</w:t>
      </w:r>
      <w:r w:rsidDel="00000000" w:rsidR="00000000" w:rsidRPr="00000000">
        <w:rPr>
          <w:highlight w:val="white"/>
          <w:rtl w:val="0"/>
        </w:rPr>
        <w:t xml:space="preserve"> selaku XX dan dengan demikian berhak bertindak untuk dan atas nama serta sah mewakili PT Penta Valent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ERK/KKI/SPE/TWI/SKK</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[alamat].</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 xml:space="preserve">PIHAK PERTAMA merupakan perusahaan yang bergerak </w:t>
      </w:r>
      <w:r w:rsidDel="00000000" w:rsidR="00000000" w:rsidRPr="00000000">
        <w:rPr>
          <w:rtl w:val="0"/>
        </w:rPr>
        <w:t xml:space="preserve">di X</w:t>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X</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 xml:space="preserve">Rp XX,- (XX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Penta Valent</w:t>
        <w:tab/>
        <w:tab/>
        <w:tab/>
        <w:tab/>
        <w:tab/>
        <w:tab/>
        <w:tab/>
        <w:t>PT ERK/KKI/SPE/TWI/SKK</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 xml:space="preserve">xx</w:t>
        <w:tab/>
        <w:tab/>
      </w:r>
      <w:r w:rsidDel="00000000" w:rsidR="00000000" w:rsidRPr="00000000">
        <w:rPr>
          <w:rtl w:val="0"/>
        </w:rPr>
        <w:tab/>
        <w:tab/>
        <w:tab/>
        <w:tab/>
        <w:tab/>
      </w:r>
      <w:r w:rsidDel="00000000" w:rsidR="00000000" w:rsidRPr="00000000">
        <w:rPr>
          <w:b w:val="1"/>
          <w:bCs w:val="1"/>
          <w:rtl w:val="0"/>
        </w:rPr>
        <w:t xml:space="preserve">Harnum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 xml:space="preserve">xx</w:t>
        <w:tab/>
        <w:tab/>
        <w:tab/>
        <w:tab/>
        <w:tab/>
        <w:tab/>
        <w:tab/>
        <w:t xml:space="preserve">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