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Astra International Tbk</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KETERAMPILAN KEHIDUPAN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PKS/KKI/III/2026/008</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Astra International Tbk,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Gaya Motor Raya No.8, Jakarta Utara, DKI Jakarta. Yang dalam hal ini diwakili oleh Budi Santoso selaku Direktur HR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Astra International Tbk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KETERAMPILAN KEHIDUPAN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Ruko Golden Madrid Blok D Nomor 26, Jalan Letnan Sutopo, BSD City, Desa/Kelurahan Rawa Mekarjaya, Kecamatan Serpong, Kota Tangerang Selatan, Provinsi Banten, Kode Pos: 15310.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industri otomotif dan jasa keuangan</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Program Pelatihan Pengembangan Diri &amp; Soft Skills untuk 200 karyawan</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pelatihan secara tertulis kepada PIHAK PERTAMA melalui surel untuk mendapatkan persetujuan sebelum pelaksanaan PELATIHAN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disiapkan sebelum PELATIHAN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450.000.000,- (Empat Ratus Lima 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2.250.000. Dengan demikian, jumlah yang akan dibayar oleh PIHAK PERTAMA ke PIHAK KEDUA setelah potongan PPh Final adalah sebesar Rp 447.750.000,- (Empat Ratus Empat Puluh Tujuh Juta Tujuh Ratus Lima Puluh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Astra International Tbk</w:t>
        <w:tab/>
        <w:tab/>
        <w:tab/>
        <w:tab/>
        <w:tab/>
        <w:tab/>
        <w:tab/>
        <w:t>PT KETERAMPILAN KEHIDUPAN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Budi Santoso</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 HR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