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PPh Test 5000000000</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PKS/ERK/III/2026/026</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PPh Test 5000000000,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Budi Test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PPh Test 5000000000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 PPh calculation</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5.000.000.000,- (Lima Miliar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25.000.000. Dengan demikian, jumlah yang akan dibayar oleh PIHAK PERTAMA ke PIHAK KEDUA setelah potongan PPh Final adalah sebesar Rp 4.975.000.000,- (Empat Miliar Sembilan Ratus Tujuh Puluh Lima Juta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PPh Test 5000000000</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 Test</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