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QA ERK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ERK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28 March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25.000.000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