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Maju Sejahtera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5 Komponen - 100 peserta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29 Maret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3.885.000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