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March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INV/ERK/III/2026/003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Test Corp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Test No. 1, 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935.000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9.435.000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