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INV/ERK/III/2026/017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Indonesia Musik Nusantara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 JKT48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385.000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3.885.000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