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BAST/SPE/III/2026/001</w:t>
      </w:r>
    </w:p>
    <w:p/>
    <w:p>
      <w:r>
        <w:t>Pada hari ini, Minggu, tanggal 29 Maret 2026, bertempat di Jakarta Selatan,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Devandra Maula Zakki</w:t>
      </w:r>
    </w:p>
    <w:p>
      <w:r>
        <w:t>Jabatan</w:t>
        <w:tab/>
        <w:tab/>
        <w:t>: Direktur</w:t>
      </w:r>
    </w:p>
    <w:p>
      <w:r>
        <w:t>Perusahaan</w:t>
        <w:tab/>
        <w:t>: PT SATU PERSEN EDUKASI</w:t>
      </w:r>
    </w:p>
    <w:p>
      <w:r>
        <w:t>Alamat</w:t>
        <w:tab/>
        <w:tab/>
        <w:t>: Jl. DR. Soepomo No. 73B, RT.2/RW.15, Menteng Dalam, Kec. Tebet, Kota Jakarta Selatan - DKI Jakarta 12870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Budi Santoso</w:t>
      </w:r>
    </w:p>
    <w:p>
      <w:r>
        <w:t>Jabatan</w:t>
        <w:tab/>
        <w:tab/>
        <w:t>: HR Director</w:t>
      </w:r>
    </w:p>
    <w:p>
      <w:r>
        <w:t>Perusahaan</w:t>
        <w:tab/>
        <w:t>: PT VINCI Edutama</w:t>
      </w:r>
    </w:p>
    <w:p>
      <w:r>
        <w:t>Alamat</w:t>
        <w:tab/>
        <w:tab/>
        <w:t>: Jakarta Selatan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 tanggal 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Career Assessment Premium - 50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Laporan individual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Laporan rekapitulasi HR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-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(Devandra Maula Zakki)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(Budi Santoso)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Satu Persen Edukasi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4286250</wp:posOffset>
          </wp:positionH>
          <wp:positionV relativeFrom="paragraph">
            <wp:posOffset>-100071</wp:posOffset>
          </wp:positionV>
          <wp:extent cx="1385590" cy="6334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590" cy="6334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Jl. DR. Soepomo No. 73B, RT.2/RW.15, Menteng Dalam, Kec. Tebet,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Kota Jakarta Selatan - DKI Jakarta 12870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